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BCB5B">
      <w:pPr>
        <w:keepNext w:val="0"/>
        <w:keepLines w:val="0"/>
        <w:pageBreakBefore w:val="0"/>
        <w:widowControl/>
        <w:kinsoku w:val="0"/>
        <w:wordWrap/>
        <w:overflowPunct/>
        <w:topLinePunct w:val="0"/>
        <w:autoSpaceDE w:val="0"/>
        <w:autoSpaceDN w:val="0"/>
        <w:bidi w:val="0"/>
        <w:adjustRightInd w:val="0"/>
        <w:snapToGrid w:val="0"/>
        <w:spacing w:line="240" w:lineRule="auto"/>
        <w:ind w:firstLine="964" w:firstLineChars="200"/>
        <w:jc w:val="center"/>
        <w:textAlignment w:val="baseline"/>
        <w:rPr>
          <w:rFonts w:hint="eastAsia" w:ascii="宋体" w:hAnsi="宋体" w:eastAsia="宋体" w:cs="宋体"/>
          <w:b/>
          <w:bCs/>
          <w:i w:val="0"/>
          <w:iCs w:val="0"/>
          <w:caps w:val="0"/>
          <w:color w:val="333333"/>
          <w:spacing w:val="0"/>
          <w:sz w:val="48"/>
          <w:szCs w:val="48"/>
          <w:shd w:val="clear" w:fill="FFFFFF"/>
        </w:rPr>
      </w:pPr>
      <w:bookmarkStart w:id="0" w:name="_GoBack"/>
      <w:r>
        <w:rPr>
          <w:rFonts w:hint="eastAsia" w:ascii="宋体" w:hAnsi="宋体" w:eastAsia="宋体" w:cs="宋体"/>
          <w:b/>
          <w:bCs/>
          <w:i w:val="0"/>
          <w:iCs w:val="0"/>
          <w:caps w:val="0"/>
          <w:color w:val="333333"/>
          <w:spacing w:val="0"/>
          <w:sz w:val="48"/>
          <w:szCs w:val="48"/>
          <w:shd w:val="clear" w:fill="FFFFFF"/>
        </w:rPr>
        <w:t>湖州师范学院艺术学院艺术专业学位硕士研究生实践环节规定</w:t>
      </w:r>
    </w:p>
    <w:bookmarkEnd w:id="0"/>
    <w:p w14:paraId="1A4098B7">
      <w:pPr>
        <w:keepNext w:val="0"/>
        <w:keepLines w:val="0"/>
        <w:pageBreakBefore w:val="0"/>
        <w:widowControl/>
        <w:kinsoku w:val="0"/>
        <w:wordWrap/>
        <w:overflowPunct/>
        <w:topLinePunct w:val="0"/>
        <w:autoSpaceDE w:val="0"/>
        <w:autoSpaceDN w:val="0"/>
        <w:bidi w:val="0"/>
        <w:adjustRightInd w:val="0"/>
        <w:snapToGrid w:val="0"/>
        <w:spacing w:line="240" w:lineRule="auto"/>
        <w:ind w:firstLine="964" w:firstLineChars="200"/>
        <w:jc w:val="center"/>
        <w:textAlignment w:val="baseline"/>
        <w:rPr>
          <w:rFonts w:hint="eastAsia" w:ascii="宋体" w:hAnsi="宋体" w:eastAsia="宋体" w:cs="宋体"/>
          <w:b/>
          <w:bCs/>
          <w:i w:val="0"/>
          <w:iCs w:val="0"/>
          <w:caps w:val="0"/>
          <w:color w:val="333333"/>
          <w:spacing w:val="0"/>
          <w:sz w:val="48"/>
          <w:szCs w:val="48"/>
          <w:shd w:val="clear" w:fill="FFFFFF"/>
        </w:rPr>
      </w:pPr>
    </w:p>
    <w:p w14:paraId="0695CAE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根据《湖州师范学院艺术设计领域艺术硕士专业学位研究生培养方案》的要求，艺术硕士专业学位研究生除修满学位课程中公共课、 专业必修课和选修课规定的学分外，还须修满实践环节的 13 学分。 为了进一步明确和规范上述环节，制定本规定如下：</w:t>
      </w:r>
    </w:p>
    <w:p w14:paraId="19CD63B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一、常年实践</w:t>
      </w:r>
    </w:p>
    <w:p w14:paraId="185712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常年实践是指艺术硕士专业学位研究生在校期间须完成各类与专业相关的实践活动，共计 8 学分。常年实践的模块和学分构成如下：</w:t>
      </w:r>
    </w:p>
    <w:tbl>
      <w:tblPr>
        <w:tblStyle w:val="5"/>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43"/>
        <w:gridCol w:w="1560"/>
        <w:gridCol w:w="2797"/>
      </w:tblGrid>
      <w:tr w14:paraId="2FDBD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3943" w:type="dxa"/>
            <w:vAlign w:val="center"/>
          </w:tcPr>
          <w:p w14:paraId="4B2F712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实践模块</w:t>
            </w:r>
          </w:p>
        </w:tc>
        <w:tc>
          <w:tcPr>
            <w:tcW w:w="1560" w:type="dxa"/>
            <w:vAlign w:val="center"/>
          </w:tcPr>
          <w:p w14:paraId="0118042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color w:val="auto"/>
                <w:sz w:val="28"/>
                <w:szCs w:val="28"/>
              </w:rPr>
            </w:pPr>
            <w:r>
              <w:rPr>
                <w:color w:val="auto"/>
                <w:sz w:val="28"/>
                <w:szCs w:val="28"/>
              </w:rPr>
              <w:t>学分</w:t>
            </w:r>
          </w:p>
        </w:tc>
        <w:tc>
          <w:tcPr>
            <w:tcW w:w="2797" w:type="dxa"/>
            <w:vAlign w:val="center"/>
          </w:tcPr>
          <w:p w14:paraId="353E365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开设学期</w:t>
            </w:r>
          </w:p>
        </w:tc>
      </w:tr>
      <w:tr w14:paraId="4E76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43" w:type="dxa"/>
            <w:vAlign w:val="center"/>
          </w:tcPr>
          <w:p w14:paraId="47E40D7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助研实践</w:t>
            </w:r>
          </w:p>
        </w:tc>
        <w:tc>
          <w:tcPr>
            <w:tcW w:w="1560" w:type="dxa"/>
            <w:vAlign w:val="center"/>
          </w:tcPr>
          <w:p w14:paraId="445CA37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color w:val="auto"/>
                <w:sz w:val="28"/>
                <w:szCs w:val="28"/>
              </w:rPr>
            </w:pPr>
            <w:r>
              <w:rPr>
                <w:color w:val="auto"/>
                <w:sz w:val="28"/>
                <w:szCs w:val="28"/>
              </w:rPr>
              <w:t>1</w:t>
            </w:r>
          </w:p>
        </w:tc>
        <w:tc>
          <w:tcPr>
            <w:tcW w:w="2797" w:type="dxa"/>
            <w:vAlign w:val="center"/>
          </w:tcPr>
          <w:p w14:paraId="3793244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1-6</w:t>
            </w:r>
          </w:p>
        </w:tc>
      </w:tr>
      <w:tr w14:paraId="10935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43" w:type="dxa"/>
            <w:vAlign w:val="center"/>
          </w:tcPr>
          <w:p w14:paraId="38EFAE2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课程作业汇报展</w:t>
            </w:r>
          </w:p>
        </w:tc>
        <w:tc>
          <w:tcPr>
            <w:tcW w:w="1560" w:type="dxa"/>
            <w:vAlign w:val="center"/>
          </w:tcPr>
          <w:p w14:paraId="18D73B9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color w:val="auto"/>
                <w:sz w:val="28"/>
                <w:szCs w:val="28"/>
              </w:rPr>
            </w:pPr>
            <w:r>
              <w:rPr>
                <w:color w:val="auto"/>
                <w:sz w:val="28"/>
                <w:szCs w:val="28"/>
              </w:rPr>
              <w:t>1</w:t>
            </w:r>
          </w:p>
        </w:tc>
        <w:tc>
          <w:tcPr>
            <w:tcW w:w="2797" w:type="dxa"/>
            <w:vAlign w:val="center"/>
          </w:tcPr>
          <w:p w14:paraId="2FD4C05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2</w:t>
            </w:r>
          </w:p>
        </w:tc>
      </w:tr>
      <w:tr w14:paraId="6CBC6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3943" w:type="dxa"/>
            <w:vAlign w:val="center"/>
          </w:tcPr>
          <w:p w14:paraId="5A47F14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校外实践基地专业实习</w:t>
            </w:r>
          </w:p>
        </w:tc>
        <w:tc>
          <w:tcPr>
            <w:tcW w:w="1560" w:type="dxa"/>
            <w:vAlign w:val="center"/>
          </w:tcPr>
          <w:p w14:paraId="218238B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color w:val="auto"/>
                <w:sz w:val="28"/>
                <w:szCs w:val="28"/>
              </w:rPr>
            </w:pPr>
            <w:r>
              <w:rPr>
                <w:color w:val="auto"/>
                <w:sz w:val="28"/>
                <w:szCs w:val="28"/>
              </w:rPr>
              <w:t>4</w:t>
            </w:r>
          </w:p>
        </w:tc>
        <w:tc>
          <w:tcPr>
            <w:tcW w:w="2797" w:type="dxa"/>
            <w:vAlign w:val="center"/>
          </w:tcPr>
          <w:p w14:paraId="1C44646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4</w:t>
            </w:r>
          </w:p>
        </w:tc>
      </w:tr>
      <w:tr w14:paraId="71AC2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3943" w:type="dxa"/>
            <w:vAlign w:val="center"/>
          </w:tcPr>
          <w:p w14:paraId="384D6B7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专业实践中期成果展示</w:t>
            </w:r>
          </w:p>
        </w:tc>
        <w:tc>
          <w:tcPr>
            <w:tcW w:w="1560" w:type="dxa"/>
            <w:vAlign w:val="center"/>
          </w:tcPr>
          <w:p w14:paraId="57AD1D7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both"/>
              <w:textAlignment w:val="baseline"/>
              <w:rPr>
                <w:color w:val="auto"/>
                <w:sz w:val="28"/>
                <w:szCs w:val="28"/>
              </w:rPr>
            </w:pPr>
            <w:r>
              <w:rPr>
                <w:color w:val="auto"/>
                <w:sz w:val="28"/>
                <w:szCs w:val="28"/>
              </w:rPr>
              <w:t>2</w:t>
            </w:r>
          </w:p>
        </w:tc>
        <w:tc>
          <w:tcPr>
            <w:tcW w:w="2797" w:type="dxa"/>
            <w:vAlign w:val="center"/>
          </w:tcPr>
          <w:p w14:paraId="26A49BD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center"/>
              <w:textAlignment w:val="baseline"/>
              <w:rPr>
                <w:color w:val="auto"/>
                <w:sz w:val="28"/>
                <w:szCs w:val="28"/>
              </w:rPr>
            </w:pPr>
            <w:r>
              <w:rPr>
                <w:color w:val="auto"/>
                <w:sz w:val="28"/>
                <w:szCs w:val="28"/>
              </w:rPr>
              <w:t>4</w:t>
            </w:r>
          </w:p>
        </w:tc>
      </w:tr>
    </w:tbl>
    <w:p w14:paraId="6262DD3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 一) 助研实践</w:t>
      </w:r>
    </w:p>
    <w:p w14:paraId="308F761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助研实践是指研究生承担导师、导师组或科研课题组分配的科研 工作，协助导师、导师组或科研课题组完成科研项目的研究工作，如专业实验、专业设计与施工、文献检索、编制程序、数据统计与分析、 设备维护与调试、技术后勤、田野考察与市场调研等研究工作，该过程贯穿于整个研究生学习阶段，共计 1 学分。助研是加强研究生科研 训练，培养研究生科研能力的重要途径。具体工作职责按照导师、导师组或科研课题组科研要求确定。申请学位论文答辩前，研究生填写 《艺术学院艺术硕士研究生助研实践考核表》，经导师审核签字后， 计入学分。</w:t>
      </w:r>
    </w:p>
    <w:p w14:paraId="028A77A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val="0"/>
          <w:bCs w:val="0"/>
          <w:i w:val="0"/>
          <w:iCs w:val="0"/>
          <w:color w:val="auto"/>
          <w:sz w:val="28"/>
          <w:szCs w:val="28"/>
        </w:rPr>
      </w:pPr>
      <w:r>
        <w:rPr>
          <w:b w:val="0"/>
          <w:bCs w:val="0"/>
          <w:i w:val="0"/>
          <w:iCs w:val="0"/>
          <w:color w:val="auto"/>
          <w:sz w:val="28"/>
          <w:szCs w:val="28"/>
        </w:rPr>
        <w:t>附件 1：艺术学院艺术硕士研究生助研实践考核表</w:t>
      </w:r>
    </w:p>
    <w:p w14:paraId="7389A01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(二) 课程作业汇报展</w:t>
      </w:r>
    </w:p>
    <w:p w14:paraId="623C518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课程作业汇报展是指研究生专业实践能力的阶段性展示，一般于第</w:t>
      </w:r>
      <w:r>
        <w:rPr>
          <w:rFonts w:hint="eastAsia" w:eastAsia="宋体"/>
          <w:color w:val="auto"/>
          <w:sz w:val="28"/>
          <w:szCs w:val="28"/>
          <w:lang w:val="en-US" w:eastAsia="zh-CN"/>
        </w:rPr>
        <w:t>2</w:t>
      </w:r>
      <w:r>
        <w:rPr>
          <w:color w:val="auto"/>
          <w:sz w:val="28"/>
          <w:szCs w:val="28"/>
        </w:rPr>
        <w:t>学期开设，共计 1 学分。要求在导师或课程教师指导下进行。作品应以第</w:t>
      </w:r>
      <w:r>
        <w:rPr>
          <w:rFonts w:hint="eastAsia" w:eastAsia="宋体"/>
          <w:color w:val="auto"/>
          <w:sz w:val="28"/>
          <w:szCs w:val="28"/>
          <w:lang w:val="en-US" w:eastAsia="zh-CN"/>
        </w:rPr>
        <w:t>1</w:t>
      </w:r>
      <w:r>
        <w:rPr>
          <w:color w:val="auto"/>
          <w:sz w:val="28"/>
          <w:szCs w:val="28"/>
        </w:rPr>
        <w:t>学年的实践课程作业为主体，</w:t>
      </w:r>
      <w:r>
        <w:rPr>
          <w:rFonts w:hint="eastAsia"/>
          <w:color w:val="auto"/>
          <w:sz w:val="28"/>
          <w:szCs w:val="28"/>
          <w:lang w:val="en-US" w:eastAsia="zh-CN"/>
        </w:rPr>
        <w:t>但不限于课程作业，应</w:t>
      </w:r>
      <w:r>
        <w:rPr>
          <w:color w:val="auto"/>
          <w:sz w:val="28"/>
          <w:szCs w:val="28"/>
        </w:rPr>
        <w:t>体现本专业学科前沿动态，具有较好的学术意义和实用价值，能够体现出较高的文化素养、专业设计水准和较强的综合性专业实践能力。</w:t>
      </w:r>
    </w:p>
    <w:p w14:paraId="76ADB06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1.由于各研究方向性质和要求不同，因此课程作业汇报展应按照各研究方向的类型进行划分区别。</w:t>
      </w:r>
    </w:p>
    <w:p w14:paraId="1C5B83D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(1) 环境艺术设计方向：</w:t>
      </w:r>
    </w:p>
    <w:p w14:paraId="7544EDC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选题范</w:t>
      </w:r>
      <w:r>
        <w:rPr>
          <w:rFonts w:hint="eastAsia" w:eastAsia="宋体"/>
          <w:color w:val="auto"/>
          <w:sz w:val="28"/>
          <w:szCs w:val="28"/>
          <w:lang w:val="en-US" w:eastAsia="zh-CN"/>
        </w:rPr>
        <w:t>围</w:t>
      </w:r>
      <w:r>
        <w:rPr>
          <w:color w:val="auto"/>
          <w:sz w:val="28"/>
          <w:szCs w:val="28"/>
        </w:rPr>
        <w:t>包括建筑与室内设计、规划与景观设计、展示设计、家具与陈设设计等。要求学生独立完成项目方案设计，提交内容包括：</w:t>
      </w:r>
    </w:p>
    <w:p w14:paraId="5C7B6A0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color w:val="auto"/>
          <w:sz w:val="28"/>
          <w:szCs w:val="28"/>
          <w:lang w:eastAsia="zh-CN"/>
        </w:rPr>
      </w:pPr>
      <w:r>
        <w:rPr>
          <w:color w:val="auto"/>
          <w:sz w:val="28"/>
          <w:szCs w:val="28"/>
        </w:rPr>
        <w:t>方案</w:t>
      </w:r>
      <w:r>
        <w:rPr>
          <w:rFonts w:hint="eastAsia"/>
          <w:color w:val="auto"/>
          <w:sz w:val="28"/>
          <w:szCs w:val="28"/>
          <w:lang w:val="en-US" w:eastAsia="zh-CN"/>
        </w:rPr>
        <w:t>册</w:t>
      </w:r>
      <w:r>
        <w:rPr>
          <w:color w:val="auto"/>
          <w:sz w:val="28"/>
          <w:szCs w:val="28"/>
        </w:rPr>
        <w:t>1套 (平面</w:t>
      </w:r>
      <w:r>
        <w:rPr>
          <w:rFonts w:hint="eastAsia"/>
          <w:color w:val="auto"/>
          <w:sz w:val="28"/>
          <w:szCs w:val="28"/>
          <w:lang w:val="en-US" w:eastAsia="zh-CN"/>
        </w:rPr>
        <w:t>图</w:t>
      </w:r>
      <w:r>
        <w:rPr>
          <w:color w:val="auto"/>
          <w:sz w:val="28"/>
          <w:szCs w:val="28"/>
        </w:rPr>
        <w:t>、立面</w:t>
      </w:r>
      <w:r>
        <w:rPr>
          <w:rFonts w:hint="eastAsia"/>
          <w:color w:val="auto"/>
          <w:sz w:val="28"/>
          <w:szCs w:val="28"/>
          <w:lang w:val="en-US" w:eastAsia="zh-CN"/>
        </w:rPr>
        <w:t>图</w:t>
      </w:r>
      <w:r>
        <w:rPr>
          <w:color w:val="auto"/>
          <w:sz w:val="28"/>
          <w:szCs w:val="28"/>
        </w:rPr>
        <w:t>、剖面</w:t>
      </w:r>
      <w:r>
        <w:rPr>
          <w:rFonts w:hint="eastAsia"/>
          <w:color w:val="auto"/>
          <w:sz w:val="28"/>
          <w:szCs w:val="28"/>
          <w:lang w:val="en-US" w:eastAsia="zh-CN"/>
        </w:rPr>
        <w:t>图</w:t>
      </w:r>
      <w:r>
        <w:rPr>
          <w:color w:val="auto"/>
          <w:sz w:val="28"/>
          <w:szCs w:val="28"/>
        </w:rPr>
        <w:t>、节点大样</w:t>
      </w:r>
      <w:r>
        <w:rPr>
          <w:rFonts w:hint="eastAsia"/>
          <w:color w:val="auto"/>
          <w:sz w:val="28"/>
          <w:szCs w:val="28"/>
          <w:lang w:val="en-US" w:eastAsia="zh-CN"/>
        </w:rPr>
        <w:t>图等</w:t>
      </w:r>
      <w:r>
        <w:rPr>
          <w:color w:val="auto"/>
          <w:sz w:val="28"/>
          <w:szCs w:val="28"/>
        </w:rPr>
        <w:t>，</w:t>
      </w:r>
      <w:r>
        <w:rPr>
          <w:rFonts w:hint="eastAsia"/>
          <w:color w:val="auto"/>
          <w:sz w:val="28"/>
          <w:szCs w:val="28"/>
          <w:lang w:val="en-US" w:eastAsia="zh-CN"/>
        </w:rPr>
        <w:t>效果图5幅以上</w:t>
      </w:r>
      <w:r>
        <w:rPr>
          <w:color w:val="auto"/>
          <w:sz w:val="28"/>
          <w:szCs w:val="28"/>
        </w:rPr>
        <w:t>)，展板</w:t>
      </w:r>
      <w:r>
        <w:rPr>
          <w:rFonts w:hint="eastAsia"/>
          <w:color w:val="auto"/>
          <w:sz w:val="28"/>
          <w:szCs w:val="28"/>
          <w:lang w:val="en-US" w:eastAsia="zh-CN"/>
        </w:rPr>
        <w:t>2</w:t>
      </w:r>
      <w:r>
        <w:rPr>
          <w:color w:val="auto"/>
          <w:sz w:val="28"/>
          <w:szCs w:val="28"/>
        </w:rPr>
        <w:t>幅以上，模型</w:t>
      </w:r>
      <w:r>
        <w:rPr>
          <w:rFonts w:hint="eastAsia"/>
          <w:color w:val="auto"/>
          <w:sz w:val="28"/>
          <w:szCs w:val="28"/>
          <w:lang w:val="en-US" w:eastAsia="zh-CN"/>
        </w:rPr>
        <w:t>或视频</w:t>
      </w:r>
      <w:r>
        <w:rPr>
          <w:color w:val="auto"/>
          <w:sz w:val="28"/>
          <w:szCs w:val="28"/>
        </w:rPr>
        <w:t xml:space="preserve"> 1 个</w:t>
      </w:r>
      <w:r>
        <w:rPr>
          <w:rFonts w:hint="eastAsia" w:eastAsia="宋体"/>
          <w:color w:val="auto"/>
          <w:sz w:val="28"/>
          <w:szCs w:val="28"/>
          <w:lang w:val="en-US" w:eastAsia="zh-CN"/>
        </w:rPr>
        <w:t>以上</w:t>
      </w:r>
      <w:r>
        <w:rPr>
          <w:rFonts w:hint="eastAsia" w:eastAsia="宋体"/>
          <w:color w:val="auto"/>
          <w:sz w:val="28"/>
          <w:szCs w:val="28"/>
          <w:lang w:eastAsia="zh-CN"/>
        </w:rPr>
        <w:t>（</w:t>
      </w:r>
      <w:r>
        <w:rPr>
          <w:rFonts w:hint="eastAsia" w:eastAsia="宋体"/>
          <w:color w:val="auto"/>
          <w:sz w:val="28"/>
          <w:szCs w:val="28"/>
          <w:lang w:val="en-US" w:eastAsia="zh-CN"/>
        </w:rPr>
        <w:t xml:space="preserve">模型尺寸：1平方米以上 </w:t>
      </w:r>
      <w:r>
        <w:rPr>
          <w:rFonts w:hint="eastAsia" w:eastAsia="宋体"/>
          <w:color w:val="auto"/>
          <w:sz w:val="28"/>
          <w:szCs w:val="28"/>
          <w:lang w:eastAsia="zh-CN"/>
        </w:rPr>
        <w:t>）</w:t>
      </w:r>
    </w:p>
    <w:p w14:paraId="5D6EA26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(2) 视觉艺术设计方向：</w:t>
      </w:r>
    </w:p>
    <w:p w14:paraId="7E00D52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选题</w:t>
      </w:r>
      <w:r>
        <w:rPr>
          <w:rFonts w:hint="eastAsia" w:eastAsia="宋体"/>
          <w:color w:val="auto"/>
          <w:sz w:val="28"/>
          <w:szCs w:val="28"/>
          <w:lang w:val="en-US" w:eastAsia="zh-CN"/>
        </w:rPr>
        <w:t>范围</w:t>
      </w:r>
      <w:r>
        <w:rPr>
          <w:color w:val="auto"/>
          <w:sz w:val="28"/>
          <w:szCs w:val="28"/>
        </w:rPr>
        <w:t>包括品牌设计、广告设计、字体设计、导示设计、插画绘本设计、包装设计、书籍装帧、文创产品设计、数字媒体设计、 交互设计等。要求学生独立完成项目的系列设计，提交内容包括：</w:t>
      </w:r>
    </w:p>
    <w:p w14:paraId="638C31E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0000FF"/>
          <w:sz w:val="28"/>
          <w:szCs w:val="28"/>
        </w:rPr>
        <w:t>主题鲜明的创意作品展示</w:t>
      </w:r>
      <w:r>
        <w:rPr>
          <w:rFonts w:hint="eastAsia" w:eastAsia="宋体"/>
          <w:color w:val="0000FF"/>
          <w:sz w:val="28"/>
          <w:szCs w:val="28"/>
          <w:lang w:eastAsia="zh-CN"/>
        </w:rPr>
        <w:t>，</w:t>
      </w:r>
      <w:r>
        <w:rPr>
          <w:color w:val="0000FF"/>
          <w:sz w:val="28"/>
          <w:szCs w:val="28"/>
        </w:rPr>
        <w:t>完成一个作品系列，</w:t>
      </w:r>
      <w:r>
        <w:rPr>
          <w:rFonts w:hint="eastAsia" w:eastAsia="宋体"/>
          <w:b/>
          <w:bCs/>
          <w:color w:val="0000FF"/>
          <w:sz w:val="28"/>
          <w:szCs w:val="28"/>
          <w:lang w:val="en-US" w:eastAsia="zh-CN"/>
        </w:rPr>
        <w:t>同时</w:t>
      </w:r>
      <w:r>
        <w:rPr>
          <w:rFonts w:hint="eastAsia" w:eastAsia="宋体"/>
          <w:color w:val="0000FF"/>
          <w:sz w:val="28"/>
          <w:szCs w:val="28"/>
          <w:lang w:val="en-US" w:eastAsia="zh-CN"/>
        </w:rPr>
        <w:t>还需完成1个以上展板（展板尺寸80*180）和5套以上周边作品</w:t>
      </w:r>
      <w:r>
        <w:rPr>
          <w:rFonts w:hint="eastAsia"/>
          <w:color w:val="0000FF"/>
          <w:sz w:val="28"/>
          <w:szCs w:val="28"/>
          <w:lang w:eastAsia="zh-CN"/>
        </w:rPr>
        <w:t>；</w:t>
      </w:r>
      <w:r>
        <w:rPr>
          <w:color w:val="auto"/>
          <w:sz w:val="28"/>
          <w:szCs w:val="28"/>
        </w:rPr>
        <w:t>数字媒体设计和交互设计领域</w:t>
      </w:r>
      <w:r>
        <w:rPr>
          <w:rFonts w:hint="eastAsia"/>
          <w:color w:val="auto"/>
          <w:sz w:val="28"/>
          <w:szCs w:val="28"/>
          <w:lang w:val="en-US" w:eastAsia="zh-CN"/>
        </w:rPr>
        <w:t>提交数字化作品</w:t>
      </w:r>
      <w:r>
        <w:rPr>
          <w:rFonts w:hint="eastAsia" w:eastAsia="宋体"/>
          <w:color w:val="auto"/>
          <w:sz w:val="28"/>
          <w:szCs w:val="28"/>
          <w:lang w:eastAsia="zh-CN"/>
        </w:rPr>
        <w:t>。</w:t>
      </w:r>
      <w:r>
        <w:rPr>
          <w:color w:val="auto"/>
          <w:sz w:val="28"/>
          <w:szCs w:val="28"/>
        </w:rPr>
        <w:t>作品规格可根据主题需要自行设定，展陈方式应考虑多维的展示环境，体现多样的</w:t>
      </w:r>
      <w:r>
        <w:rPr>
          <w:rFonts w:hint="eastAsia" w:eastAsia="宋体"/>
          <w:color w:val="auto"/>
          <w:sz w:val="28"/>
          <w:szCs w:val="28"/>
          <w:lang w:val="en-US" w:eastAsia="zh-CN"/>
        </w:rPr>
        <w:t>视觉</w:t>
      </w:r>
      <w:r>
        <w:rPr>
          <w:color w:val="auto"/>
          <w:sz w:val="28"/>
          <w:szCs w:val="28"/>
        </w:rPr>
        <w:t>效果，如系列展板、视频、实物展示等。</w:t>
      </w:r>
    </w:p>
    <w:p w14:paraId="3F3BE88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(3) 设计策划与艺术管理方向：</w:t>
      </w:r>
    </w:p>
    <w:p w14:paraId="7B4ED9E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highlight w:val="none"/>
        </w:rPr>
      </w:pPr>
      <w:r>
        <w:rPr>
          <w:color w:val="auto"/>
          <w:sz w:val="28"/>
          <w:szCs w:val="28"/>
          <w:highlight w:val="none"/>
        </w:rPr>
        <w:t>要求学生独立完成一个项目的设计策划案，提交内容包括：</w:t>
      </w:r>
    </w:p>
    <w:p w14:paraId="61D77FA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color w:val="auto"/>
          <w:sz w:val="28"/>
          <w:szCs w:val="28"/>
          <w:lang w:eastAsia="zh-CN"/>
        </w:rPr>
      </w:pPr>
      <w:r>
        <w:rPr>
          <w:rFonts w:hint="eastAsia" w:eastAsia="宋体"/>
          <w:color w:val="auto"/>
          <w:sz w:val="28"/>
          <w:szCs w:val="28"/>
          <w:lang w:val="en-US" w:eastAsia="zh-CN"/>
        </w:rPr>
        <w:t>艺术</w:t>
      </w:r>
      <w:r>
        <w:rPr>
          <w:color w:val="auto"/>
          <w:sz w:val="28"/>
          <w:szCs w:val="28"/>
        </w:rPr>
        <w:t>设计</w:t>
      </w:r>
      <w:r>
        <w:rPr>
          <w:rFonts w:hint="eastAsia" w:eastAsia="宋体"/>
          <w:color w:val="auto"/>
          <w:sz w:val="28"/>
          <w:szCs w:val="28"/>
          <w:lang w:val="en-US" w:eastAsia="zh-CN"/>
        </w:rPr>
        <w:t>策划或管理方案</w:t>
      </w:r>
      <w:r>
        <w:rPr>
          <w:color w:val="auto"/>
          <w:sz w:val="28"/>
          <w:szCs w:val="28"/>
        </w:rPr>
        <w:t xml:space="preserve"> 1 套 (不少</w:t>
      </w:r>
      <w:r>
        <w:rPr>
          <w:rFonts w:hint="eastAsia" w:eastAsia="宋体"/>
          <w:color w:val="auto"/>
          <w:sz w:val="28"/>
          <w:szCs w:val="28"/>
          <w:lang w:val="en-US" w:eastAsia="zh-CN"/>
        </w:rPr>
        <w:t>3000字</w:t>
      </w:r>
      <w:r>
        <w:rPr>
          <w:color w:val="auto"/>
          <w:sz w:val="28"/>
          <w:szCs w:val="28"/>
        </w:rPr>
        <w:t>)、相关 PPT1 套，要求应体现出方案制定的理念、定位、目标、策略、调研、预算、技术路径及实施过程等内容</w:t>
      </w:r>
      <w:r>
        <w:rPr>
          <w:rFonts w:hint="eastAsia" w:eastAsia="宋体"/>
          <w:color w:val="auto"/>
          <w:sz w:val="28"/>
          <w:szCs w:val="28"/>
          <w:lang w:eastAsia="zh-CN"/>
        </w:rPr>
        <w:t>。</w:t>
      </w:r>
    </w:p>
    <w:p w14:paraId="37AC309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 xml:space="preserve">2. </w:t>
      </w:r>
      <w:r>
        <w:rPr>
          <w:rFonts w:hint="eastAsia" w:eastAsia="宋体"/>
          <w:color w:val="auto"/>
          <w:sz w:val="28"/>
          <w:szCs w:val="28"/>
          <w:lang w:val="en-US" w:eastAsia="zh-CN"/>
        </w:rPr>
        <w:t>所有</w:t>
      </w:r>
      <w:r>
        <w:rPr>
          <w:color w:val="auto"/>
          <w:sz w:val="28"/>
          <w:szCs w:val="28"/>
        </w:rPr>
        <w:t>作品须附光盘备存，其中如涉及图片资料，分辨率不得小于 300dpi，文件格式为 JPG、PNG、BMP、TIF、GIF；视频资料分 辨率不得小于 1280×720，文件格式为 AVI、MP4、MOV、DVD。</w:t>
      </w:r>
    </w:p>
    <w:p w14:paraId="733D808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3. 课程作业汇报展评价体系如下：</w:t>
      </w:r>
    </w:p>
    <w:tbl>
      <w:tblPr>
        <w:tblStyle w:val="5"/>
        <w:tblW w:w="82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8"/>
        <w:gridCol w:w="972"/>
        <w:gridCol w:w="4945"/>
        <w:gridCol w:w="1012"/>
      </w:tblGrid>
      <w:tr w14:paraId="1E8D3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328" w:type="dxa"/>
            <w:tcBorders>
              <w:tl2br w:val="nil"/>
              <w:tr2bl w:val="nil"/>
            </w:tcBorders>
            <w:vAlign w:val="center"/>
          </w:tcPr>
          <w:p w14:paraId="3D10D5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研究方向</w:t>
            </w:r>
          </w:p>
        </w:tc>
        <w:tc>
          <w:tcPr>
            <w:tcW w:w="5917" w:type="dxa"/>
            <w:gridSpan w:val="2"/>
            <w:tcBorders>
              <w:tl2br w:val="nil"/>
              <w:tr2bl w:val="nil"/>
            </w:tcBorders>
            <w:vAlign w:val="center"/>
          </w:tcPr>
          <w:p w14:paraId="775C1C3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评价要素</w:t>
            </w:r>
          </w:p>
        </w:tc>
        <w:tc>
          <w:tcPr>
            <w:tcW w:w="1012" w:type="dxa"/>
            <w:tcBorders>
              <w:tl2br w:val="nil"/>
              <w:tr2bl w:val="nil"/>
            </w:tcBorders>
            <w:vAlign w:val="center"/>
          </w:tcPr>
          <w:p w14:paraId="180498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参考分值</w:t>
            </w:r>
          </w:p>
          <w:p w14:paraId="27DBCA7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(百分制)</w:t>
            </w:r>
          </w:p>
        </w:tc>
      </w:tr>
      <w:tr w14:paraId="07EC9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328" w:type="dxa"/>
            <w:vMerge w:val="restart"/>
            <w:tcBorders>
              <w:tl2br w:val="nil"/>
              <w:tr2bl w:val="nil"/>
            </w:tcBorders>
            <w:vAlign w:val="center"/>
          </w:tcPr>
          <w:p w14:paraId="007528F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p>
          <w:p w14:paraId="63BD64E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环境艺术设计</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视觉艺术 设计</w:t>
            </w:r>
          </w:p>
        </w:tc>
        <w:tc>
          <w:tcPr>
            <w:tcW w:w="972" w:type="dxa"/>
            <w:tcBorders>
              <w:tl2br w:val="nil"/>
              <w:tr2bl w:val="nil"/>
            </w:tcBorders>
            <w:vAlign w:val="center"/>
          </w:tcPr>
          <w:p w14:paraId="0146FA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创新性</w:t>
            </w:r>
          </w:p>
        </w:tc>
        <w:tc>
          <w:tcPr>
            <w:tcW w:w="4945" w:type="dxa"/>
            <w:tcBorders>
              <w:tl2br w:val="nil"/>
              <w:tr2bl w:val="nil"/>
            </w:tcBorders>
            <w:vAlign w:val="center"/>
          </w:tcPr>
          <w:p w14:paraId="204181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在本研究领域的认知体系和实践积累上有所 突破或创新。</w:t>
            </w:r>
          </w:p>
        </w:tc>
        <w:tc>
          <w:tcPr>
            <w:tcW w:w="1012" w:type="dxa"/>
            <w:tcBorders>
              <w:tl2br w:val="nil"/>
              <w:tr2bl w:val="nil"/>
            </w:tcBorders>
            <w:vAlign w:val="center"/>
          </w:tcPr>
          <w:p w14:paraId="4CFA6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35922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1328" w:type="dxa"/>
            <w:vMerge w:val="continue"/>
            <w:tcBorders>
              <w:tl2br w:val="nil"/>
              <w:tr2bl w:val="nil"/>
            </w:tcBorders>
            <w:vAlign w:val="center"/>
          </w:tcPr>
          <w:p w14:paraId="0ABC06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1A56B3F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前沿性</w:t>
            </w:r>
          </w:p>
        </w:tc>
        <w:tc>
          <w:tcPr>
            <w:tcW w:w="4945" w:type="dxa"/>
            <w:tcBorders>
              <w:tl2br w:val="nil"/>
              <w:tr2bl w:val="nil"/>
            </w:tcBorders>
            <w:vAlign w:val="center"/>
          </w:tcPr>
          <w:p w14:paraId="47B04D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研究视角隶属学科前沿范畴。</w:t>
            </w:r>
          </w:p>
        </w:tc>
        <w:tc>
          <w:tcPr>
            <w:tcW w:w="1012" w:type="dxa"/>
            <w:tcBorders>
              <w:tl2br w:val="nil"/>
              <w:tr2bl w:val="nil"/>
            </w:tcBorders>
            <w:vAlign w:val="center"/>
          </w:tcPr>
          <w:p w14:paraId="262B83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57DC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jc w:val="center"/>
        </w:trPr>
        <w:tc>
          <w:tcPr>
            <w:tcW w:w="1328" w:type="dxa"/>
            <w:vMerge w:val="continue"/>
            <w:tcBorders>
              <w:tl2br w:val="nil"/>
              <w:tr2bl w:val="nil"/>
            </w:tcBorders>
            <w:vAlign w:val="center"/>
          </w:tcPr>
          <w:p w14:paraId="70B9DA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2C02D4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原创性</w:t>
            </w:r>
          </w:p>
        </w:tc>
        <w:tc>
          <w:tcPr>
            <w:tcW w:w="4945" w:type="dxa"/>
            <w:tcBorders>
              <w:tl2br w:val="nil"/>
              <w:tr2bl w:val="nil"/>
            </w:tcBorders>
            <w:vAlign w:val="center"/>
          </w:tcPr>
          <w:p w14:paraId="0737B8B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应为研究生原创性成果。</w:t>
            </w:r>
          </w:p>
        </w:tc>
        <w:tc>
          <w:tcPr>
            <w:tcW w:w="1012" w:type="dxa"/>
            <w:tcBorders>
              <w:tl2br w:val="nil"/>
              <w:tr2bl w:val="nil"/>
            </w:tcBorders>
            <w:vAlign w:val="center"/>
          </w:tcPr>
          <w:p w14:paraId="73058E2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4D407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1328" w:type="dxa"/>
            <w:vMerge w:val="continue"/>
            <w:tcBorders>
              <w:tl2br w:val="nil"/>
              <w:tr2bl w:val="nil"/>
            </w:tcBorders>
            <w:vAlign w:val="center"/>
          </w:tcPr>
          <w:p w14:paraId="52DB45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0C08598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应用性</w:t>
            </w:r>
          </w:p>
        </w:tc>
        <w:tc>
          <w:tcPr>
            <w:tcW w:w="4945" w:type="dxa"/>
            <w:tcBorders>
              <w:tl2br w:val="nil"/>
              <w:tr2bl w:val="nil"/>
            </w:tcBorders>
            <w:vAlign w:val="center"/>
          </w:tcPr>
          <w:p w14:paraId="539A91E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聚焦国计民生和社会发展，具有一定的实际 应用价值。</w:t>
            </w:r>
          </w:p>
        </w:tc>
        <w:tc>
          <w:tcPr>
            <w:tcW w:w="1012" w:type="dxa"/>
            <w:tcBorders>
              <w:tl2br w:val="nil"/>
              <w:tr2bl w:val="nil"/>
            </w:tcBorders>
            <w:vAlign w:val="center"/>
          </w:tcPr>
          <w:p w14:paraId="459179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09900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jc w:val="center"/>
        </w:trPr>
        <w:tc>
          <w:tcPr>
            <w:tcW w:w="1328" w:type="dxa"/>
            <w:vMerge w:val="continue"/>
            <w:tcBorders>
              <w:tl2br w:val="nil"/>
              <w:tr2bl w:val="nil"/>
            </w:tcBorders>
            <w:vAlign w:val="center"/>
          </w:tcPr>
          <w:p w14:paraId="3D45ED5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5F655D0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艺术性</w:t>
            </w:r>
          </w:p>
        </w:tc>
        <w:tc>
          <w:tcPr>
            <w:tcW w:w="4945" w:type="dxa"/>
            <w:tcBorders>
              <w:tl2br w:val="nil"/>
              <w:tr2bl w:val="nil"/>
            </w:tcBorders>
            <w:vAlign w:val="center"/>
          </w:tcPr>
          <w:p w14:paraId="227BC7E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应具有一定的艺术价值。</w:t>
            </w:r>
          </w:p>
        </w:tc>
        <w:tc>
          <w:tcPr>
            <w:tcW w:w="1012" w:type="dxa"/>
            <w:tcBorders>
              <w:tl2br w:val="nil"/>
              <w:tr2bl w:val="nil"/>
            </w:tcBorders>
            <w:vAlign w:val="center"/>
          </w:tcPr>
          <w:p w14:paraId="74F13D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26CA1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328" w:type="dxa"/>
            <w:vMerge w:val="restart"/>
            <w:tcBorders>
              <w:tl2br w:val="nil"/>
              <w:tr2bl w:val="nil"/>
            </w:tcBorders>
            <w:vAlign w:val="center"/>
          </w:tcPr>
          <w:p w14:paraId="1540771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p>
          <w:p w14:paraId="417D545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p>
          <w:p w14:paraId="502CB71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设计策划</w:t>
            </w:r>
            <w:r>
              <w:rPr>
                <w:rFonts w:hint="eastAsia" w:ascii="宋体" w:hAnsi="宋体" w:eastAsia="宋体" w:cs="宋体"/>
                <w:color w:val="auto"/>
                <w:sz w:val="24"/>
                <w:szCs w:val="24"/>
                <w:lang w:val="en-US" w:eastAsia="zh-CN"/>
              </w:rPr>
              <w:t>与艺术管理</w:t>
            </w:r>
          </w:p>
        </w:tc>
        <w:tc>
          <w:tcPr>
            <w:tcW w:w="972" w:type="dxa"/>
            <w:tcBorders>
              <w:tl2br w:val="nil"/>
              <w:tr2bl w:val="nil"/>
            </w:tcBorders>
            <w:vAlign w:val="center"/>
          </w:tcPr>
          <w:p w14:paraId="4C3BBDD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创新性</w:t>
            </w:r>
          </w:p>
        </w:tc>
        <w:tc>
          <w:tcPr>
            <w:tcW w:w="4945" w:type="dxa"/>
            <w:tcBorders>
              <w:tl2br w:val="nil"/>
              <w:tr2bl w:val="nil"/>
            </w:tcBorders>
            <w:vAlign w:val="center"/>
          </w:tcPr>
          <w:p w14:paraId="061C546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在本研究领域的认知体系和实践积累上有所 突破或创新。</w:t>
            </w:r>
          </w:p>
        </w:tc>
        <w:tc>
          <w:tcPr>
            <w:tcW w:w="1012" w:type="dxa"/>
            <w:tcBorders>
              <w:tl2br w:val="nil"/>
              <w:tr2bl w:val="nil"/>
            </w:tcBorders>
            <w:vAlign w:val="center"/>
          </w:tcPr>
          <w:p w14:paraId="6B89B4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5CCDD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jc w:val="center"/>
        </w:trPr>
        <w:tc>
          <w:tcPr>
            <w:tcW w:w="1328" w:type="dxa"/>
            <w:vMerge w:val="continue"/>
            <w:tcBorders>
              <w:tl2br w:val="nil"/>
              <w:tr2bl w:val="nil"/>
            </w:tcBorders>
            <w:vAlign w:val="center"/>
          </w:tcPr>
          <w:p w14:paraId="77B073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37C71C0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前沿性</w:t>
            </w:r>
          </w:p>
        </w:tc>
        <w:tc>
          <w:tcPr>
            <w:tcW w:w="4945" w:type="dxa"/>
            <w:tcBorders>
              <w:tl2br w:val="nil"/>
              <w:tr2bl w:val="nil"/>
            </w:tcBorders>
            <w:vAlign w:val="center"/>
          </w:tcPr>
          <w:p w14:paraId="23312EF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研究视角隶属学科前沿范畴。</w:t>
            </w:r>
          </w:p>
        </w:tc>
        <w:tc>
          <w:tcPr>
            <w:tcW w:w="1012" w:type="dxa"/>
            <w:tcBorders>
              <w:tl2br w:val="nil"/>
              <w:tr2bl w:val="nil"/>
            </w:tcBorders>
            <w:vAlign w:val="center"/>
          </w:tcPr>
          <w:p w14:paraId="13AFEC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6D973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jc w:val="center"/>
        </w:trPr>
        <w:tc>
          <w:tcPr>
            <w:tcW w:w="1328" w:type="dxa"/>
            <w:vMerge w:val="continue"/>
            <w:tcBorders>
              <w:tl2br w:val="nil"/>
              <w:tr2bl w:val="nil"/>
            </w:tcBorders>
            <w:vAlign w:val="center"/>
          </w:tcPr>
          <w:p w14:paraId="729F01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1989614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原创性</w:t>
            </w:r>
          </w:p>
        </w:tc>
        <w:tc>
          <w:tcPr>
            <w:tcW w:w="4945" w:type="dxa"/>
            <w:tcBorders>
              <w:tl2br w:val="nil"/>
              <w:tr2bl w:val="nil"/>
            </w:tcBorders>
            <w:vAlign w:val="center"/>
          </w:tcPr>
          <w:p w14:paraId="358E28C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应为研究生原创性成果。</w:t>
            </w:r>
          </w:p>
        </w:tc>
        <w:tc>
          <w:tcPr>
            <w:tcW w:w="1012" w:type="dxa"/>
            <w:tcBorders>
              <w:tl2br w:val="nil"/>
              <w:tr2bl w:val="nil"/>
            </w:tcBorders>
            <w:vAlign w:val="center"/>
          </w:tcPr>
          <w:p w14:paraId="1F6842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09AB4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328" w:type="dxa"/>
            <w:vMerge w:val="continue"/>
            <w:tcBorders>
              <w:tl2br w:val="nil"/>
              <w:tr2bl w:val="nil"/>
            </w:tcBorders>
            <w:vAlign w:val="center"/>
          </w:tcPr>
          <w:p w14:paraId="21B382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61DB655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应用性</w:t>
            </w:r>
          </w:p>
        </w:tc>
        <w:tc>
          <w:tcPr>
            <w:tcW w:w="4945" w:type="dxa"/>
            <w:tcBorders>
              <w:tl2br w:val="nil"/>
              <w:tr2bl w:val="nil"/>
            </w:tcBorders>
            <w:vAlign w:val="center"/>
          </w:tcPr>
          <w:p w14:paraId="34FCDB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聚焦国计民生和社会发展，具有一定的实际 应用价值。</w:t>
            </w:r>
          </w:p>
        </w:tc>
        <w:tc>
          <w:tcPr>
            <w:tcW w:w="1012" w:type="dxa"/>
            <w:tcBorders>
              <w:tl2br w:val="nil"/>
              <w:tr2bl w:val="nil"/>
            </w:tcBorders>
            <w:vAlign w:val="center"/>
          </w:tcPr>
          <w:p w14:paraId="1FD0F3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5DF58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328" w:type="dxa"/>
            <w:vMerge w:val="continue"/>
            <w:tcBorders>
              <w:tl2br w:val="nil"/>
              <w:tr2bl w:val="nil"/>
            </w:tcBorders>
            <w:vAlign w:val="center"/>
          </w:tcPr>
          <w:p w14:paraId="726013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p>
        </w:tc>
        <w:tc>
          <w:tcPr>
            <w:tcW w:w="972" w:type="dxa"/>
            <w:tcBorders>
              <w:tl2br w:val="nil"/>
              <w:tr2bl w:val="nil"/>
            </w:tcBorders>
            <w:vAlign w:val="center"/>
          </w:tcPr>
          <w:p w14:paraId="73143DE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可行性</w:t>
            </w:r>
          </w:p>
        </w:tc>
        <w:tc>
          <w:tcPr>
            <w:tcW w:w="4945" w:type="dxa"/>
            <w:tcBorders>
              <w:tl2br w:val="nil"/>
              <w:tr2bl w:val="nil"/>
            </w:tcBorders>
            <w:vAlign w:val="center"/>
          </w:tcPr>
          <w:p w14:paraId="5F4A0F1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应具有一定的可行性，在实际操作层面合理 完善。</w:t>
            </w:r>
          </w:p>
        </w:tc>
        <w:tc>
          <w:tcPr>
            <w:tcW w:w="1012" w:type="dxa"/>
            <w:tcBorders>
              <w:tl2br w:val="nil"/>
              <w:tr2bl w:val="nil"/>
            </w:tcBorders>
            <w:vAlign w:val="center"/>
          </w:tcPr>
          <w:p w14:paraId="6A4F1E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40918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8257" w:type="dxa"/>
            <w:gridSpan w:val="4"/>
            <w:tcBorders>
              <w:tl2br w:val="nil"/>
              <w:tr2bl w:val="nil"/>
            </w:tcBorders>
            <w:vAlign w:val="center"/>
          </w:tcPr>
          <w:p w14:paraId="24A6371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8"/>
                <w:szCs w:val="28"/>
                <w:lang w:val="en-US" w:eastAsia="zh-CN"/>
              </w:rPr>
            </w:pPr>
            <w:r>
              <w:rPr>
                <w:rFonts w:hint="eastAsia" w:ascii="宋体" w:hAnsi="宋体" w:eastAsia="宋体" w:cs="宋体"/>
                <w:color w:val="auto"/>
                <w:sz w:val="24"/>
                <w:szCs w:val="24"/>
                <w:lang w:val="en-US" w:eastAsia="zh-CN"/>
              </w:rPr>
              <w:t>备注：95-90分为优，89-76分为良，75-60分为合格，60分以下为不合格。</w:t>
            </w:r>
          </w:p>
        </w:tc>
      </w:tr>
    </w:tbl>
    <w:p w14:paraId="47BD795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4. 课程作业汇报展考核委员会</w:t>
      </w:r>
    </w:p>
    <w:p w14:paraId="2949ED1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课程作业汇报展考核委员会由艺术设计及相关领域具有高级职称的专家 3-5 人组成，考核汇报展申请人专业实践能力展示。</w:t>
      </w:r>
    </w:p>
    <w:p w14:paraId="23D9FA4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i w:val="0"/>
          <w:iCs w:val="0"/>
          <w:color w:val="auto"/>
          <w:sz w:val="28"/>
          <w:szCs w:val="28"/>
        </w:rPr>
      </w:pPr>
      <w:r>
        <w:rPr>
          <w:i w:val="0"/>
          <w:iCs w:val="0"/>
          <w:color w:val="auto"/>
          <w:sz w:val="28"/>
          <w:szCs w:val="28"/>
        </w:rPr>
        <w:t>附件 2：艺术学院艺术硕士课程作业汇报展申请 (评分) 表</w:t>
      </w:r>
    </w:p>
    <w:p w14:paraId="3FE14BD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(三) 校外实践基地专业实习</w:t>
      </w:r>
    </w:p>
    <w:p w14:paraId="1574E30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校外实践基地专业实习是指通过校内、校外双导师制培养，为专业展赛做筹备或参与真实设计实践项目，锻炼提高实践能力和设计创意水准，一般于第四学期开设，不低于640学时，共计4学分。学生须在本专业范畴内，根据自身专业发展和就业需求，选择在校外导师工作站、设计公司、企事业单位的设计企划部等校外专业实践基地或其他相关专业单位开展实践。具体的实践进度、专业实践记录、实践总结报告、专业实践考核和成绩评定严格遵照《湖州师范学院专业学位硕士研究生培养手册》的要求执行。</w:t>
      </w:r>
    </w:p>
    <w:p w14:paraId="150C88B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 四) 专业实践中期成果展示</w:t>
      </w:r>
    </w:p>
    <w:p w14:paraId="06E20ED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专业实践中期成果展示是指研究生围绕校外实践基地专业实习成果和毕业设计创作而开展的专业实践能力综合展示，一般于第</w:t>
      </w:r>
      <w:r>
        <w:rPr>
          <w:rFonts w:hint="eastAsia" w:eastAsia="宋体"/>
          <w:color w:val="auto"/>
          <w:sz w:val="28"/>
          <w:szCs w:val="28"/>
          <w:lang w:val="en-US" w:eastAsia="zh-CN"/>
        </w:rPr>
        <w:t>4</w:t>
      </w:r>
      <w:r>
        <w:rPr>
          <w:color w:val="auto"/>
          <w:sz w:val="28"/>
          <w:szCs w:val="28"/>
        </w:rPr>
        <w:t>学期开设，共计2学分。要求在校外导师和校内导师共同指导下进行。</w:t>
      </w:r>
    </w:p>
    <w:p w14:paraId="62F85F0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作品应结合产业、行业、企业和市场的需求，体现本专业学科前沿动态，具有较好的学术意义和实用价值，能够体现出较高的文化素养、专业设计水准和较强的综合性专业实践能力。</w:t>
      </w:r>
    </w:p>
    <w:p w14:paraId="549D59F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1.由于各研究方向性质和要求不同，因此专业实践中期成果展示应按照各研究方向的类型进行划分区别。</w:t>
      </w:r>
    </w:p>
    <w:p w14:paraId="30A18E7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(1) 环境艺术设计方向：</w:t>
      </w:r>
    </w:p>
    <w:p w14:paraId="2111B40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选题范</w:t>
      </w:r>
      <w:r>
        <w:rPr>
          <w:rFonts w:hint="eastAsia" w:eastAsia="宋体"/>
          <w:color w:val="auto"/>
          <w:sz w:val="28"/>
          <w:szCs w:val="28"/>
          <w:lang w:val="en-US" w:eastAsia="zh-CN"/>
        </w:rPr>
        <w:t>围</w:t>
      </w:r>
      <w:r>
        <w:rPr>
          <w:color w:val="auto"/>
          <w:sz w:val="28"/>
          <w:szCs w:val="28"/>
        </w:rPr>
        <w:t>包括建筑与室内设计、规划与景观设计、展示设计、家具与陈设设计等。要求学生独立完成项目方案设计，提交内容包括：</w:t>
      </w:r>
    </w:p>
    <w:p w14:paraId="3DABDA2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方案</w:t>
      </w:r>
      <w:r>
        <w:rPr>
          <w:rFonts w:hint="eastAsia"/>
          <w:color w:val="auto"/>
          <w:sz w:val="28"/>
          <w:szCs w:val="28"/>
          <w:lang w:val="en-US" w:eastAsia="zh-CN"/>
        </w:rPr>
        <w:t>册</w:t>
      </w:r>
      <w:r>
        <w:rPr>
          <w:color w:val="auto"/>
          <w:sz w:val="28"/>
          <w:szCs w:val="28"/>
        </w:rPr>
        <w:t>1套 (平面</w:t>
      </w:r>
      <w:r>
        <w:rPr>
          <w:rFonts w:hint="eastAsia"/>
          <w:color w:val="auto"/>
          <w:sz w:val="28"/>
          <w:szCs w:val="28"/>
          <w:lang w:val="en-US" w:eastAsia="zh-CN"/>
        </w:rPr>
        <w:t>图</w:t>
      </w:r>
      <w:r>
        <w:rPr>
          <w:color w:val="auto"/>
          <w:sz w:val="28"/>
          <w:szCs w:val="28"/>
        </w:rPr>
        <w:t>、立面</w:t>
      </w:r>
      <w:r>
        <w:rPr>
          <w:rFonts w:hint="eastAsia"/>
          <w:color w:val="auto"/>
          <w:sz w:val="28"/>
          <w:szCs w:val="28"/>
          <w:lang w:val="en-US" w:eastAsia="zh-CN"/>
        </w:rPr>
        <w:t>图</w:t>
      </w:r>
      <w:r>
        <w:rPr>
          <w:color w:val="auto"/>
          <w:sz w:val="28"/>
          <w:szCs w:val="28"/>
        </w:rPr>
        <w:t>、剖面</w:t>
      </w:r>
      <w:r>
        <w:rPr>
          <w:rFonts w:hint="eastAsia"/>
          <w:color w:val="auto"/>
          <w:sz w:val="28"/>
          <w:szCs w:val="28"/>
          <w:lang w:val="en-US" w:eastAsia="zh-CN"/>
        </w:rPr>
        <w:t>图</w:t>
      </w:r>
      <w:r>
        <w:rPr>
          <w:color w:val="auto"/>
          <w:sz w:val="28"/>
          <w:szCs w:val="28"/>
        </w:rPr>
        <w:t>、节点大样</w:t>
      </w:r>
      <w:r>
        <w:rPr>
          <w:rFonts w:hint="eastAsia"/>
          <w:color w:val="auto"/>
          <w:sz w:val="28"/>
          <w:szCs w:val="28"/>
          <w:lang w:val="en-US" w:eastAsia="zh-CN"/>
        </w:rPr>
        <w:t>图等</w:t>
      </w:r>
      <w:r>
        <w:rPr>
          <w:color w:val="auto"/>
          <w:sz w:val="28"/>
          <w:szCs w:val="28"/>
        </w:rPr>
        <w:t>，</w:t>
      </w:r>
      <w:r>
        <w:rPr>
          <w:rFonts w:hint="eastAsia"/>
          <w:color w:val="auto"/>
          <w:sz w:val="28"/>
          <w:szCs w:val="28"/>
          <w:lang w:val="en-US" w:eastAsia="zh-CN"/>
        </w:rPr>
        <w:t>效果图5幅以上</w:t>
      </w:r>
      <w:r>
        <w:rPr>
          <w:color w:val="auto"/>
          <w:sz w:val="28"/>
          <w:szCs w:val="28"/>
        </w:rPr>
        <w:t>)，展板</w:t>
      </w:r>
      <w:r>
        <w:rPr>
          <w:rFonts w:hint="eastAsia"/>
          <w:color w:val="auto"/>
          <w:sz w:val="28"/>
          <w:szCs w:val="28"/>
          <w:lang w:val="en-US" w:eastAsia="zh-CN"/>
        </w:rPr>
        <w:t>2</w:t>
      </w:r>
      <w:r>
        <w:rPr>
          <w:color w:val="auto"/>
          <w:sz w:val="28"/>
          <w:szCs w:val="28"/>
        </w:rPr>
        <w:t>幅以上，模型</w:t>
      </w:r>
      <w:r>
        <w:rPr>
          <w:rFonts w:hint="eastAsia"/>
          <w:color w:val="auto"/>
          <w:sz w:val="28"/>
          <w:szCs w:val="28"/>
          <w:lang w:val="en-US" w:eastAsia="zh-CN"/>
        </w:rPr>
        <w:t>或视频</w:t>
      </w:r>
      <w:r>
        <w:rPr>
          <w:color w:val="auto"/>
          <w:sz w:val="28"/>
          <w:szCs w:val="28"/>
        </w:rPr>
        <w:t>不少于 1 个</w:t>
      </w:r>
      <w:r>
        <w:rPr>
          <w:rFonts w:hint="eastAsia" w:eastAsia="宋体"/>
          <w:color w:val="auto"/>
          <w:sz w:val="28"/>
          <w:szCs w:val="28"/>
          <w:lang w:eastAsia="zh-CN"/>
        </w:rPr>
        <w:t>（</w:t>
      </w:r>
      <w:r>
        <w:rPr>
          <w:rFonts w:hint="eastAsia" w:eastAsia="宋体"/>
          <w:color w:val="auto"/>
          <w:sz w:val="28"/>
          <w:szCs w:val="28"/>
          <w:lang w:val="en-US" w:eastAsia="zh-CN"/>
        </w:rPr>
        <w:t xml:space="preserve">模型尺寸：1平方米以上 </w:t>
      </w:r>
      <w:r>
        <w:rPr>
          <w:rFonts w:hint="eastAsia" w:eastAsia="宋体"/>
          <w:color w:val="auto"/>
          <w:sz w:val="28"/>
          <w:szCs w:val="28"/>
          <w:lang w:eastAsia="zh-CN"/>
        </w:rPr>
        <w:t>）。</w:t>
      </w:r>
    </w:p>
    <w:p w14:paraId="174AFB8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(2) 视觉艺术设计方向：</w:t>
      </w:r>
    </w:p>
    <w:p w14:paraId="5712BB8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选题范</w:t>
      </w:r>
      <w:r>
        <w:rPr>
          <w:rFonts w:hint="eastAsia" w:eastAsia="宋体"/>
          <w:color w:val="auto"/>
          <w:sz w:val="28"/>
          <w:szCs w:val="28"/>
          <w:lang w:val="en-US" w:eastAsia="zh-CN"/>
        </w:rPr>
        <w:t>围</w:t>
      </w:r>
      <w:r>
        <w:rPr>
          <w:color w:val="auto"/>
          <w:sz w:val="28"/>
          <w:szCs w:val="28"/>
        </w:rPr>
        <w:t>包括品牌设计、广告设计、字体设计、导示设计、插画绘本设计、包装设计、书籍装帧、文创产品设计、数字媒体设计、 交设计等。要求学生独立完成项目的系列设计，提交内容包括：</w:t>
      </w:r>
    </w:p>
    <w:p w14:paraId="6CEA996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0000FF"/>
          <w:sz w:val="28"/>
          <w:szCs w:val="28"/>
        </w:rPr>
        <w:t>主题鲜明的创意作品展示</w:t>
      </w:r>
      <w:r>
        <w:rPr>
          <w:rFonts w:hint="eastAsia" w:eastAsia="宋体"/>
          <w:color w:val="0000FF"/>
          <w:sz w:val="28"/>
          <w:szCs w:val="28"/>
          <w:lang w:eastAsia="zh-CN"/>
        </w:rPr>
        <w:t>，</w:t>
      </w:r>
      <w:r>
        <w:rPr>
          <w:color w:val="0000FF"/>
          <w:sz w:val="28"/>
          <w:szCs w:val="28"/>
        </w:rPr>
        <w:t>完成一个作品系列，</w:t>
      </w:r>
      <w:r>
        <w:rPr>
          <w:rFonts w:hint="eastAsia" w:eastAsia="宋体"/>
          <w:b/>
          <w:bCs/>
          <w:color w:val="0000FF"/>
          <w:sz w:val="28"/>
          <w:szCs w:val="28"/>
          <w:lang w:val="en-US" w:eastAsia="zh-CN"/>
        </w:rPr>
        <w:t>同时</w:t>
      </w:r>
      <w:r>
        <w:rPr>
          <w:rFonts w:hint="eastAsia" w:eastAsia="宋体"/>
          <w:color w:val="0000FF"/>
          <w:sz w:val="28"/>
          <w:szCs w:val="28"/>
          <w:lang w:val="en-US" w:eastAsia="zh-CN"/>
        </w:rPr>
        <w:t>还需完成1个以上展板（展板尺寸80*180）和5套以上周边作品</w:t>
      </w:r>
      <w:r>
        <w:rPr>
          <w:rFonts w:hint="eastAsia"/>
          <w:color w:val="0000FF"/>
          <w:sz w:val="28"/>
          <w:szCs w:val="28"/>
          <w:lang w:eastAsia="zh-CN"/>
        </w:rPr>
        <w:t>；</w:t>
      </w:r>
      <w:r>
        <w:rPr>
          <w:color w:val="auto"/>
          <w:sz w:val="28"/>
          <w:szCs w:val="28"/>
        </w:rPr>
        <w:t>数字媒体设计和交互设计领域</w:t>
      </w:r>
      <w:r>
        <w:rPr>
          <w:rFonts w:hint="eastAsia"/>
          <w:color w:val="auto"/>
          <w:sz w:val="28"/>
          <w:szCs w:val="28"/>
          <w:lang w:val="en-US" w:eastAsia="zh-CN"/>
        </w:rPr>
        <w:t>提交数字化作品</w:t>
      </w:r>
      <w:r>
        <w:rPr>
          <w:rFonts w:hint="eastAsia" w:eastAsia="宋体"/>
          <w:color w:val="auto"/>
          <w:sz w:val="28"/>
          <w:szCs w:val="28"/>
          <w:lang w:eastAsia="zh-CN"/>
        </w:rPr>
        <w:t>。</w:t>
      </w:r>
      <w:r>
        <w:rPr>
          <w:color w:val="auto"/>
          <w:sz w:val="28"/>
          <w:szCs w:val="28"/>
        </w:rPr>
        <w:t>作品规格可根据主题需要自行设定，展陈方式应考虑多维的展示环境，体现多样的</w:t>
      </w:r>
      <w:r>
        <w:rPr>
          <w:rFonts w:hint="eastAsia" w:eastAsia="宋体"/>
          <w:color w:val="auto"/>
          <w:sz w:val="28"/>
          <w:szCs w:val="28"/>
          <w:lang w:val="en-US" w:eastAsia="zh-CN"/>
        </w:rPr>
        <w:t>视觉</w:t>
      </w:r>
      <w:r>
        <w:rPr>
          <w:color w:val="auto"/>
          <w:sz w:val="28"/>
          <w:szCs w:val="28"/>
        </w:rPr>
        <w:t>效果，如系列展板、视频、实物展示等。</w:t>
      </w:r>
    </w:p>
    <w:p w14:paraId="4E85CC9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highlight w:val="none"/>
        </w:rPr>
      </w:pPr>
      <w:r>
        <w:rPr>
          <w:color w:val="auto"/>
          <w:sz w:val="28"/>
          <w:szCs w:val="28"/>
          <w:highlight w:val="none"/>
        </w:rPr>
        <w:t>(3) 设计策划与艺术管理方向：</w:t>
      </w:r>
    </w:p>
    <w:p w14:paraId="0F9295C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highlight w:val="none"/>
        </w:rPr>
        <w:t>要求学生独立完成一个项目的设计策划案，提交内容包括</w:t>
      </w:r>
      <w:r>
        <w:rPr>
          <w:color w:val="auto"/>
          <w:sz w:val="28"/>
          <w:szCs w:val="28"/>
        </w:rPr>
        <w:t>：</w:t>
      </w:r>
    </w:p>
    <w:p w14:paraId="21F1FB8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color w:val="auto"/>
          <w:sz w:val="28"/>
          <w:szCs w:val="28"/>
          <w:lang w:eastAsia="zh-CN"/>
        </w:rPr>
      </w:pPr>
      <w:r>
        <w:rPr>
          <w:rFonts w:hint="eastAsia" w:eastAsia="宋体"/>
          <w:color w:val="auto"/>
          <w:sz w:val="28"/>
          <w:szCs w:val="28"/>
          <w:lang w:val="en-US" w:eastAsia="zh-CN"/>
        </w:rPr>
        <w:t>艺术</w:t>
      </w:r>
      <w:r>
        <w:rPr>
          <w:color w:val="auto"/>
          <w:sz w:val="28"/>
          <w:szCs w:val="28"/>
        </w:rPr>
        <w:t>设计</w:t>
      </w:r>
      <w:r>
        <w:rPr>
          <w:rFonts w:hint="eastAsia" w:eastAsia="宋体"/>
          <w:color w:val="auto"/>
          <w:sz w:val="28"/>
          <w:szCs w:val="28"/>
          <w:lang w:val="en-US" w:eastAsia="zh-CN"/>
        </w:rPr>
        <w:t>策划或管理方案</w:t>
      </w:r>
      <w:r>
        <w:rPr>
          <w:color w:val="auto"/>
          <w:sz w:val="28"/>
          <w:szCs w:val="28"/>
        </w:rPr>
        <w:t xml:space="preserve"> 1 套 (不少</w:t>
      </w:r>
      <w:r>
        <w:rPr>
          <w:rFonts w:hint="eastAsia" w:eastAsia="宋体"/>
          <w:color w:val="auto"/>
          <w:sz w:val="28"/>
          <w:szCs w:val="28"/>
          <w:lang w:val="en-US" w:eastAsia="zh-CN"/>
        </w:rPr>
        <w:t>3000字</w:t>
      </w:r>
      <w:r>
        <w:rPr>
          <w:color w:val="auto"/>
          <w:sz w:val="28"/>
          <w:szCs w:val="28"/>
        </w:rPr>
        <w:t>)、相关 PPT</w:t>
      </w:r>
      <w:r>
        <w:rPr>
          <w:rFonts w:hint="eastAsia" w:eastAsia="宋体"/>
          <w:color w:val="auto"/>
          <w:sz w:val="28"/>
          <w:szCs w:val="28"/>
          <w:lang w:val="en-US" w:eastAsia="zh-CN"/>
        </w:rPr>
        <w:t xml:space="preserve"> </w:t>
      </w:r>
      <w:r>
        <w:rPr>
          <w:color w:val="auto"/>
          <w:sz w:val="28"/>
          <w:szCs w:val="28"/>
        </w:rPr>
        <w:t>1 套，要求应体现出方案制定的理念、定位、目标、策略、调研、预算、技术路径及实施过程等内容，并通过公开展示</w:t>
      </w:r>
      <w:r>
        <w:rPr>
          <w:rFonts w:hint="eastAsia" w:eastAsia="宋体"/>
          <w:color w:val="auto"/>
          <w:sz w:val="28"/>
          <w:szCs w:val="28"/>
          <w:lang w:eastAsia="zh-CN"/>
        </w:rPr>
        <w:t>。</w:t>
      </w:r>
    </w:p>
    <w:p w14:paraId="469C29A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 xml:space="preserve">2. </w:t>
      </w:r>
      <w:r>
        <w:rPr>
          <w:rFonts w:hint="eastAsia" w:eastAsia="宋体"/>
          <w:color w:val="auto"/>
          <w:sz w:val="28"/>
          <w:szCs w:val="28"/>
          <w:lang w:val="en-US" w:eastAsia="zh-CN"/>
        </w:rPr>
        <w:t>所有</w:t>
      </w:r>
      <w:r>
        <w:rPr>
          <w:color w:val="auto"/>
          <w:sz w:val="28"/>
          <w:szCs w:val="28"/>
        </w:rPr>
        <w:t>作品须附光盘备存，其中如涉及图片资料，分辨率不得小于 300dpi，文件格式为 JPG、PNG、BMP、TIF、GIF；视频资料分 辨率不得小于 1280×720，文件格式为 AVI、MP4、MOV、DVD。</w:t>
      </w:r>
    </w:p>
    <w:p w14:paraId="030F06D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3. 专业实践中期成果展示评价体系如下：</w:t>
      </w:r>
    </w:p>
    <w:tbl>
      <w:tblPr>
        <w:tblStyle w:val="5"/>
        <w:tblW w:w="98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600"/>
        <w:gridCol w:w="780"/>
        <w:gridCol w:w="6060"/>
        <w:gridCol w:w="1200"/>
      </w:tblGrid>
      <w:tr w14:paraId="565E1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205" w:type="dxa"/>
            <w:tcBorders>
              <w:tl2br w:val="nil"/>
              <w:tr2bl w:val="nil"/>
            </w:tcBorders>
            <w:vAlign w:val="top"/>
          </w:tcPr>
          <w:p w14:paraId="3427B42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研究方向</w:t>
            </w:r>
          </w:p>
        </w:tc>
        <w:tc>
          <w:tcPr>
            <w:tcW w:w="1380" w:type="dxa"/>
            <w:gridSpan w:val="2"/>
            <w:tcBorders>
              <w:tl2br w:val="nil"/>
              <w:tr2bl w:val="nil"/>
            </w:tcBorders>
            <w:vAlign w:val="top"/>
          </w:tcPr>
          <w:p w14:paraId="2A5F43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评价指标</w:t>
            </w:r>
          </w:p>
        </w:tc>
        <w:tc>
          <w:tcPr>
            <w:tcW w:w="6060" w:type="dxa"/>
            <w:tcBorders>
              <w:tl2br w:val="nil"/>
              <w:tr2bl w:val="nil"/>
            </w:tcBorders>
            <w:vAlign w:val="top"/>
          </w:tcPr>
          <w:p w14:paraId="660CF12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评价要素</w:t>
            </w:r>
          </w:p>
        </w:tc>
        <w:tc>
          <w:tcPr>
            <w:tcW w:w="1200" w:type="dxa"/>
            <w:tcBorders>
              <w:tl2br w:val="nil"/>
              <w:tr2bl w:val="nil"/>
            </w:tcBorders>
            <w:vAlign w:val="top"/>
          </w:tcPr>
          <w:p w14:paraId="25DDCB4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参考分值</w:t>
            </w:r>
          </w:p>
          <w:p w14:paraId="6A9BDE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18"/>
                <w:szCs w:val="18"/>
              </w:rPr>
              <w:t>(百分制)</w:t>
            </w:r>
          </w:p>
        </w:tc>
      </w:tr>
      <w:tr w14:paraId="383E4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205" w:type="dxa"/>
            <w:vMerge w:val="restart"/>
            <w:tcBorders>
              <w:tl2br w:val="nil"/>
              <w:tr2bl w:val="nil"/>
            </w:tcBorders>
            <w:vAlign w:val="top"/>
          </w:tcPr>
          <w:p w14:paraId="4D5F75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p>
          <w:p w14:paraId="42DAAA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环境艺术设  计</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视觉艺术 设计</w:t>
            </w:r>
          </w:p>
        </w:tc>
        <w:tc>
          <w:tcPr>
            <w:tcW w:w="600" w:type="dxa"/>
            <w:tcBorders>
              <w:tl2br w:val="nil"/>
              <w:tr2bl w:val="nil"/>
            </w:tcBorders>
            <w:vAlign w:val="top"/>
          </w:tcPr>
          <w:p w14:paraId="4FAE58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0" w:type="dxa"/>
            <w:tcBorders>
              <w:tl2br w:val="nil"/>
              <w:tr2bl w:val="nil"/>
            </w:tcBorders>
            <w:vAlign w:val="top"/>
          </w:tcPr>
          <w:p w14:paraId="33BA6D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创新性</w:t>
            </w:r>
          </w:p>
        </w:tc>
        <w:tc>
          <w:tcPr>
            <w:tcW w:w="6060" w:type="dxa"/>
            <w:tcBorders>
              <w:tl2br w:val="nil"/>
              <w:tr2bl w:val="nil"/>
            </w:tcBorders>
            <w:vAlign w:val="top"/>
          </w:tcPr>
          <w:p w14:paraId="690AC0C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在本研究领域的认知体系和实践积累上有所突破或创新。</w:t>
            </w:r>
          </w:p>
        </w:tc>
        <w:tc>
          <w:tcPr>
            <w:tcW w:w="1200" w:type="dxa"/>
            <w:tcBorders>
              <w:tl2br w:val="nil"/>
              <w:tr2bl w:val="nil"/>
            </w:tcBorders>
            <w:vAlign w:val="top"/>
          </w:tcPr>
          <w:p w14:paraId="56D564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5B84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05" w:type="dxa"/>
            <w:vMerge w:val="continue"/>
            <w:tcBorders>
              <w:tl2br w:val="nil"/>
              <w:tr2bl w:val="nil"/>
            </w:tcBorders>
            <w:vAlign w:val="top"/>
          </w:tcPr>
          <w:p w14:paraId="70C00B9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08D0AA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0" w:type="dxa"/>
            <w:tcBorders>
              <w:tl2br w:val="nil"/>
              <w:tr2bl w:val="nil"/>
            </w:tcBorders>
            <w:vAlign w:val="top"/>
          </w:tcPr>
          <w:p w14:paraId="4398092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前沿性</w:t>
            </w:r>
          </w:p>
        </w:tc>
        <w:tc>
          <w:tcPr>
            <w:tcW w:w="6060" w:type="dxa"/>
            <w:tcBorders>
              <w:tl2br w:val="nil"/>
              <w:tr2bl w:val="nil"/>
            </w:tcBorders>
            <w:vAlign w:val="top"/>
          </w:tcPr>
          <w:p w14:paraId="622BC17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研究视角隶属学科前沿范畴。</w:t>
            </w:r>
          </w:p>
        </w:tc>
        <w:tc>
          <w:tcPr>
            <w:tcW w:w="1200" w:type="dxa"/>
            <w:tcBorders>
              <w:tl2br w:val="nil"/>
              <w:tr2bl w:val="nil"/>
            </w:tcBorders>
            <w:vAlign w:val="top"/>
          </w:tcPr>
          <w:p w14:paraId="694CAB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44765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05" w:type="dxa"/>
            <w:vMerge w:val="continue"/>
            <w:tcBorders>
              <w:tl2br w:val="nil"/>
              <w:tr2bl w:val="nil"/>
            </w:tcBorders>
            <w:vAlign w:val="top"/>
          </w:tcPr>
          <w:p w14:paraId="6201E2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5624B4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80" w:type="dxa"/>
            <w:tcBorders>
              <w:tl2br w:val="nil"/>
              <w:tr2bl w:val="nil"/>
            </w:tcBorders>
            <w:vAlign w:val="top"/>
          </w:tcPr>
          <w:p w14:paraId="406E0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原创性</w:t>
            </w:r>
          </w:p>
        </w:tc>
        <w:tc>
          <w:tcPr>
            <w:tcW w:w="6060" w:type="dxa"/>
            <w:tcBorders>
              <w:tl2br w:val="nil"/>
              <w:tr2bl w:val="nil"/>
            </w:tcBorders>
            <w:vAlign w:val="top"/>
          </w:tcPr>
          <w:p w14:paraId="07C51F3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应为研究生原创性成果。</w:t>
            </w:r>
          </w:p>
        </w:tc>
        <w:tc>
          <w:tcPr>
            <w:tcW w:w="1200" w:type="dxa"/>
            <w:tcBorders>
              <w:tl2br w:val="nil"/>
              <w:tr2bl w:val="nil"/>
            </w:tcBorders>
            <w:vAlign w:val="top"/>
          </w:tcPr>
          <w:p w14:paraId="6FBC1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7F63D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205" w:type="dxa"/>
            <w:vMerge w:val="continue"/>
            <w:tcBorders>
              <w:tl2br w:val="nil"/>
              <w:tr2bl w:val="nil"/>
            </w:tcBorders>
            <w:vAlign w:val="top"/>
          </w:tcPr>
          <w:p w14:paraId="0FB4B6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69EBBB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0" w:type="dxa"/>
            <w:tcBorders>
              <w:tl2br w:val="nil"/>
              <w:tr2bl w:val="nil"/>
            </w:tcBorders>
            <w:vAlign w:val="top"/>
          </w:tcPr>
          <w:p w14:paraId="189759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应用性</w:t>
            </w:r>
          </w:p>
        </w:tc>
        <w:tc>
          <w:tcPr>
            <w:tcW w:w="6060" w:type="dxa"/>
            <w:tcBorders>
              <w:tl2br w:val="nil"/>
              <w:tr2bl w:val="nil"/>
            </w:tcBorders>
            <w:vAlign w:val="top"/>
          </w:tcPr>
          <w:p w14:paraId="57E8E31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聚焦国计民生和社会发展，具有一定的实际 应用价值。</w:t>
            </w:r>
          </w:p>
        </w:tc>
        <w:tc>
          <w:tcPr>
            <w:tcW w:w="1200" w:type="dxa"/>
            <w:tcBorders>
              <w:tl2br w:val="nil"/>
              <w:tr2bl w:val="nil"/>
            </w:tcBorders>
            <w:vAlign w:val="top"/>
          </w:tcPr>
          <w:p w14:paraId="6ABC48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5FDF3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05" w:type="dxa"/>
            <w:vMerge w:val="continue"/>
            <w:tcBorders>
              <w:tl2br w:val="nil"/>
              <w:tr2bl w:val="nil"/>
            </w:tcBorders>
            <w:vAlign w:val="top"/>
          </w:tcPr>
          <w:p w14:paraId="0DE314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1E33FA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0" w:type="dxa"/>
            <w:tcBorders>
              <w:tl2br w:val="nil"/>
              <w:tr2bl w:val="nil"/>
            </w:tcBorders>
            <w:vAlign w:val="top"/>
          </w:tcPr>
          <w:p w14:paraId="3F6E09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艺术性</w:t>
            </w:r>
          </w:p>
        </w:tc>
        <w:tc>
          <w:tcPr>
            <w:tcW w:w="6060" w:type="dxa"/>
            <w:tcBorders>
              <w:tl2br w:val="nil"/>
              <w:tr2bl w:val="nil"/>
            </w:tcBorders>
            <w:vAlign w:val="top"/>
          </w:tcPr>
          <w:p w14:paraId="1DF1E66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应具有一定的艺术价值。</w:t>
            </w:r>
          </w:p>
        </w:tc>
        <w:tc>
          <w:tcPr>
            <w:tcW w:w="1200" w:type="dxa"/>
            <w:tcBorders>
              <w:tl2br w:val="nil"/>
              <w:tr2bl w:val="nil"/>
            </w:tcBorders>
            <w:vAlign w:val="top"/>
          </w:tcPr>
          <w:p w14:paraId="527876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187C4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1205" w:type="dxa"/>
            <w:vMerge w:val="restart"/>
            <w:tcBorders>
              <w:tl2br w:val="nil"/>
              <w:tr2bl w:val="nil"/>
            </w:tcBorders>
            <w:vAlign w:val="top"/>
          </w:tcPr>
          <w:p w14:paraId="2C2BDD1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lang w:val="en-US" w:eastAsia="zh-CN"/>
              </w:rPr>
            </w:pPr>
          </w:p>
          <w:p w14:paraId="53B34D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设计策划与艺术管理</w:t>
            </w:r>
          </w:p>
        </w:tc>
        <w:tc>
          <w:tcPr>
            <w:tcW w:w="600" w:type="dxa"/>
            <w:tcBorders>
              <w:tl2br w:val="nil"/>
              <w:tr2bl w:val="nil"/>
            </w:tcBorders>
            <w:vAlign w:val="top"/>
          </w:tcPr>
          <w:p w14:paraId="466EC8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80" w:type="dxa"/>
            <w:tcBorders>
              <w:tl2br w:val="nil"/>
              <w:tr2bl w:val="nil"/>
            </w:tcBorders>
            <w:vAlign w:val="top"/>
          </w:tcPr>
          <w:p w14:paraId="4E1B96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创新性</w:t>
            </w:r>
          </w:p>
        </w:tc>
        <w:tc>
          <w:tcPr>
            <w:tcW w:w="6060" w:type="dxa"/>
            <w:tcBorders>
              <w:tl2br w:val="nil"/>
              <w:tr2bl w:val="nil"/>
            </w:tcBorders>
            <w:vAlign w:val="top"/>
          </w:tcPr>
          <w:p w14:paraId="68CC10D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在本研究领域的认知体系和实践积累上有所突破或创新。</w:t>
            </w:r>
          </w:p>
        </w:tc>
        <w:tc>
          <w:tcPr>
            <w:tcW w:w="1200" w:type="dxa"/>
            <w:tcBorders>
              <w:tl2br w:val="nil"/>
              <w:tr2bl w:val="nil"/>
            </w:tcBorders>
            <w:vAlign w:val="top"/>
          </w:tcPr>
          <w:p w14:paraId="61568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27EB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205" w:type="dxa"/>
            <w:vMerge w:val="continue"/>
            <w:tcBorders>
              <w:tl2br w:val="nil"/>
              <w:tr2bl w:val="nil"/>
            </w:tcBorders>
            <w:textDirection w:val="tbRlV"/>
            <w:vAlign w:val="top"/>
          </w:tcPr>
          <w:p w14:paraId="7011D7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518268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80" w:type="dxa"/>
            <w:tcBorders>
              <w:tl2br w:val="nil"/>
              <w:tr2bl w:val="nil"/>
            </w:tcBorders>
            <w:vAlign w:val="top"/>
          </w:tcPr>
          <w:p w14:paraId="44D3B9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前沿性</w:t>
            </w:r>
          </w:p>
        </w:tc>
        <w:tc>
          <w:tcPr>
            <w:tcW w:w="6060" w:type="dxa"/>
            <w:tcBorders>
              <w:tl2br w:val="nil"/>
              <w:tr2bl w:val="nil"/>
            </w:tcBorders>
            <w:vAlign w:val="top"/>
          </w:tcPr>
          <w:p w14:paraId="4327904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研究视角隶属学科前沿范畴。</w:t>
            </w:r>
          </w:p>
        </w:tc>
        <w:tc>
          <w:tcPr>
            <w:tcW w:w="1200" w:type="dxa"/>
            <w:tcBorders>
              <w:tl2br w:val="nil"/>
              <w:tr2bl w:val="nil"/>
            </w:tcBorders>
            <w:vAlign w:val="top"/>
          </w:tcPr>
          <w:p w14:paraId="65A12D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3DDD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1205" w:type="dxa"/>
            <w:vMerge w:val="continue"/>
            <w:tcBorders>
              <w:tl2br w:val="nil"/>
              <w:tr2bl w:val="nil"/>
            </w:tcBorders>
            <w:textDirection w:val="tbRlV"/>
            <w:vAlign w:val="top"/>
          </w:tcPr>
          <w:p w14:paraId="4DC6FD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2F431A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80" w:type="dxa"/>
            <w:tcBorders>
              <w:tl2br w:val="nil"/>
              <w:tr2bl w:val="nil"/>
            </w:tcBorders>
            <w:vAlign w:val="top"/>
          </w:tcPr>
          <w:p w14:paraId="19FED6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原创性</w:t>
            </w:r>
          </w:p>
        </w:tc>
        <w:tc>
          <w:tcPr>
            <w:tcW w:w="6060" w:type="dxa"/>
            <w:tcBorders>
              <w:tl2br w:val="nil"/>
              <w:tr2bl w:val="nil"/>
            </w:tcBorders>
            <w:vAlign w:val="top"/>
          </w:tcPr>
          <w:p w14:paraId="7219566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应为研究生原创性成果。</w:t>
            </w:r>
          </w:p>
        </w:tc>
        <w:tc>
          <w:tcPr>
            <w:tcW w:w="1200" w:type="dxa"/>
            <w:tcBorders>
              <w:tl2br w:val="nil"/>
              <w:tr2bl w:val="nil"/>
            </w:tcBorders>
            <w:vAlign w:val="top"/>
          </w:tcPr>
          <w:p w14:paraId="7681A1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r>
      <w:tr w14:paraId="584A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205" w:type="dxa"/>
            <w:vMerge w:val="continue"/>
            <w:tcBorders>
              <w:tl2br w:val="nil"/>
              <w:tr2bl w:val="nil"/>
            </w:tcBorders>
            <w:textDirection w:val="tbRlV"/>
            <w:vAlign w:val="top"/>
          </w:tcPr>
          <w:p w14:paraId="1DBE8E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20E12F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80" w:type="dxa"/>
            <w:tcBorders>
              <w:tl2br w:val="nil"/>
              <w:tr2bl w:val="nil"/>
            </w:tcBorders>
            <w:vAlign w:val="top"/>
          </w:tcPr>
          <w:p w14:paraId="0BFCBB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应用性</w:t>
            </w:r>
          </w:p>
        </w:tc>
        <w:tc>
          <w:tcPr>
            <w:tcW w:w="6060" w:type="dxa"/>
            <w:tcBorders>
              <w:tl2br w:val="nil"/>
              <w:tr2bl w:val="nil"/>
            </w:tcBorders>
            <w:vAlign w:val="top"/>
          </w:tcPr>
          <w:p w14:paraId="64166D7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聚焦国计民生和社会发展，具有一定的实际 应用价值。</w:t>
            </w:r>
          </w:p>
        </w:tc>
        <w:tc>
          <w:tcPr>
            <w:tcW w:w="1200" w:type="dxa"/>
            <w:tcBorders>
              <w:tl2br w:val="nil"/>
              <w:tr2bl w:val="nil"/>
            </w:tcBorders>
            <w:vAlign w:val="top"/>
          </w:tcPr>
          <w:p w14:paraId="52D21E6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76B70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1205" w:type="dxa"/>
            <w:vMerge w:val="continue"/>
            <w:tcBorders>
              <w:tl2br w:val="nil"/>
              <w:tr2bl w:val="nil"/>
            </w:tcBorders>
            <w:textDirection w:val="tbRlV"/>
            <w:vAlign w:val="top"/>
          </w:tcPr>
          <w:p w14:paraId="2FEAB9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center"/>
              <w:textAlignment w:val="baseline"/>
              <w:rPr>
                <w:rFonts w:hint="eastAsia" w:ascii="宋体" w:hAnsi="宋体" w:eastAsia="宋体" w:cs="宋体"/>
                <w:color w:val="auto"/>
                <w:sz w:val="24"/>
                <w:szCs w:val="24"/>
              </w:rPr>
            </w:pPr>
          </w:p>
        </w:tc>
        <w:tc>
          <w:tcPr>
            <w:tcW w:w="600" w:type="dxa"/>
            <w:tcBorders>
              <w:tl2br w:val="nil"/>
              <w:tr2bl w:val="nil"/>
            </w:tcBorders>
            <w:vAlign w:val="top"/>
          </w:tcPr>
          <w:p w14:paraId="142ED0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80" w:type="dxa"/>
            <w:tcBorders>
              <w:tl2br w:val="nil"/>
              <w:tr2bl w:val="nil"/>
            </w:tcBorders>
            <w:vAlign w:val="top"/>
          </w:tcPr>
          <w:p w14:paraId="1EB481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可行性</w:t>
            </w:r>
          </w:p>
        </w:tc>
        <w:tc>
          <w:tcPr>
            <w:tcW w:w="6060" w:type="dxa"/>
            <w:tcBorders>
              <w:tl2br w:val="nil"/>
              <w:tr2bl w:val="nil"/>
            </w:tcBorders>
            <w:vAlign w:val="top"/>
          </w:tcPr>
          <w:p w14:paraId="2DAA4CA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应具有一定的可行性，在实际操作层面合理 完善。</w:t>
            </w:r>
          </w:p>
        </w:tc>
        <w:tc>
          <w:tcPr>
            <w:tcW w:w="1200" w:type="dxa"/>
            <w:tcBorders>
              <w:tl2br w:val="nil"/>
              <w:tr2bl w:val="nil"/>
            </w:tcBorders>
            <w:vAlign w:val="top"/>
          </w:tcPr>
          <w:p w14:paraId="0E73AF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14:paraId="3E7B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1205" w:type="dxa"/>
            <w:tcBorders>
              <w:tl2br w:val="nil"/>
              <w:tr2bl w:val="nil"/>
            </w:tcBorders>
            <w:vAlign w:val="top"/>
          </w:tcPr>
          <w:p w14:paraId="701618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8640" w:type="dxa"/>
            <w:gridSpan w:val="4"/>
            <w:tcBorders>
              <w:tl2br w:val="nil"/>
              <w:tr2bl w:val="nil"/>
            </w:tcBorders>
            <w:vAlign w:val="top"/>
          </w:tcPr>
          <w:p w14:paraId="6CF2DF1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90分为优；89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分为良；75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60分为合格；60分以下为不合格</w:t>
            </w:r>
          </w:p>
        </w:tc>
      </w:tr>
    </w:tbl>
    <w:p w14:paraId="435637A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4. 专业实践中期成果展示考核委员会</w:t>
      </w:r>
    </w:p>
    <w:p w14:paraId="32B2046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i w:val="0"/>
          <w:iCs w:val="0"/>
          <w:color w:val="auto"/>
          <w:sz w:val="28"/>
          <w:szCs w:val="28"/>
          <w:lang w:eastAsia="zh-CN"/>
        </w:rPr>
      </w:pPr>
      <w:r>
        <w:rPr>
          <w:color w:val="auto"/>
          <w:sz w:val="28"/>
          <w:szCs w:val="28"/>
        </w:rPr>
        <w:t>专业实践中期成果展示考核委员会由艺术设计及相关领域具有高级职称的专家 3-5 人组成，其中至少有1 位专家来自校外实践基地，考核中期成果展示申请人专业实践能力展示</w:t>
      </w:r>
      <w:r>
        <w:rPr>
          <w:rFonts w:hint="eastAsia" w:eastAsia="宋体"/>
          <w:color w:val="auto"/>
          <w:sz w:val="28"/>
          <w:szCs w:val="28"/>
          <w:lang w:eastAsia="zh-CN"/>
        </w:rPr>
        <w:t>。</w:t>
      </w:r>
    </w:p>
    <w:p w14:paraId="77CD551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i w:val="0"/>
          <w:iCs w:val="0"/>
          <w:color w:val="auto"/>
          <w:sz w:val="28"/>
          <w:szCs w:val="28"/>
        </w:rPr>
      </w:pPr>
      <w:r>
        <w:rPr>
          <w:i w:val="0"/>
          <w:iCs w:val="0"/>
          <w:color w:val="auto"/>
          <w:sz w:val="28"/>
          <w:szCs w:val="28"/>
        </w:rPr>
        <w:t>附件 3：艺术学院艺术硕士中期成果展示申请 (评分) 表</w:t>
      </w:r>
    </w:p>
    <w:p w14:paraId="1B4EC5B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二、学术活动</w:t>
      </w:r>
    </w:p>
    <w:p w14:paraId="3F45310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color w:val="auto"/>
          <w:sz w:val="28"/>
          <w:szCs w:val="28"/>
        </w:rPr>
      </w:pPr>
      <w:r>
        <w:rPr>
          <w:color w:val="auto"/>
          <w:sz w:val="28"/>
          <w:szCs w:val="28"/>
        </w:rPr>
        <w:t>学术活动是指研究生在校期间须参加学校和学院主办的各项学术活动，或在导师的带领或指导下参加校外访学和学术会议、论坛等学术活动，该环节贯穿于整个研究生学习阶段，共计 2 学分。研究生在校期间参加各种类型的学术活动不得少于 4 次，</w:t>
      </w:r>
      <w:r>
        <w:rPr>
          <w:rFonts w:hint="eastAsia" w:eastAsia="宋体"/>
          <w:color w:val="auto"/>
          <w:sz w:val="28"/>
          <w:szCs w:val="28"/>
          <w:lang w:val="en-US" w:eastAsia="zh-CN"/>
        </w:rPr>
        <w:t>做</w:t>
      </w:r>
      <w:r>
        <w:rPr>
          <w:color w:val="auto"/>
          <w:sz w:val="28"/>
          <w:szCs w:val="28"/>
        </w:rPr>
        <w:t>好学术笔记，并撰写有关研究心得或读书笔记，字数不少于 3000 字。考核由学术活动考勤和导师考核两部分组成，导师考核主要评阅《湖州师范学院研究生成长档案记录本》中涉及到的该环节相关内容。以上资料统一交学院研究生办公室备存。</w:t>
      </w:r>
    </w:p>
    <w:p w14:paraId="0A29ABF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b/>
          <w:bCs/>
          <w:color w:val="auto"/>
          <w:sz w:val="28"/>
          <w:szCs w:val="28"/>
        </w:rPr>
      </w:pPr>
      <w:r>
        <w:rPr>
          <w:b/>
          <w:bCs/>
          <w:color w:val="auto"/>
          <w:sz w:val="28"/>
          <w:szCs w:val="28"/>
        </w:rPr>
        <w:t>三、学位论文、毕业设计与展示</w:t>
      </w:r>
    </w:p>
    <w:p w14:paraId="2413249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eastAsia="宋体"/>
          <w:color w:val="auto"/>
          <w:sz w:val="28"/>
          <w:szCs w:val="28"/>
          <w:lang w:eastAsia="zh-CN"/>
        </w:rPr>
        <w:sectPr>
          <w:footerReference r:id="rId5" w:type="default"/>
          <w:pgSz w:w="11906" w:h="16839"/>
          <w:pgMar w:top="1431" w:right="1156" w:bottom="1427" w:left="1130" w:header="0" w:footer="1240" w:gutter="0"/>
          <w:pgBorders>
            <w:top w:val="none" w:sz="0" w:space="0"/>
            <w:left w:val="none" w:sz="0" w:space="0"/>
            <w:bottom w:val="none" w:sz="0" w:space="0"/>
            <w:right w:val="none" w:sz="0" w:space="0"/>
          </w:pgBorders>
          <w:cols w:space="720" w:num="1"/>
        </w:sectPr>
      </w:pPr>
      <w:r>
        <w:rPr>
          <w:color w:val="auto"/>
          <w:sz w:val="28"/>
          <w:szCs w:val="28"/>
        </w:rPr>
        <w:t>根据《湖州师范学院艺术设计领域艺术硕士专业学位研究生培养方案》的要求，艺术硕士专业学位研究生通过全部学位课程考核，修满规定学分后，还须修满学位论文和毕业设计环节的 3 学分。毕业设计成绩合格并且通过学位论文答辩，即被视为修满该环节学分。具体要求和考核参照《湖州师范学院艺术学院艺术专业学位 (艺术设计领 域) 硕士研究生学位论文、毕业设计与展示的规定》标准执行</w:t>
      </w:r>
      <w:r>
        <w:rPr>
          <w:rFonts w:hint="eastAsia" w:eastAsia="宋体"/>
          <w:color w:val="auto"/>
          <w:sz w:val="28"/>
          <w:szCs w:val="28"/>
          <w:lang w:eastAsia="zh-CN"/>
        </w:rPr>
        <w:t>。</w:t>
      </w:r>
    </w:p>
    <w:p w14:paraId="59A4E6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 w:val="28"/>
          <w:szCs w:val="28"/>
        </w:rPr>
      </w:pPr>
    </w:p>
    <w:sectPr>
      <w:footerReference r:id="rId6" w:type="default"/>
      <w:pgSz w:w="11906" w:h="16839"/>
      <w:pgMar w:top="1431" w:right="1156" w:bottom="1427" w:left="1130" w:header="0" w:footer="124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B649">
    <w:pPr>
      <w:spacing w:line="194" w:lineRule="auto"/>
      <w:ind w:left="4608"/>
      <w:rPr>
        <w:rFonts w:ascii="等线" w:hAnsi="等线" w:eastAsia="等线" w:cs="等线"/>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B117">
    <w:pPr>
      <w:spacing w:line="194" w:lineRule="auto"/>
      <w:ind w:left="4608"/>
      <w:rPr>
        <w:rFonts w:ascii="等线" w:hAnsi="等线" w:eastAsia="等线" w:cs="等线"/>
        <w:sz w:val="17"/>
        <w:szCs w:val="17"/>
      </w:rPr>
    </w:pPr>
    <w:r>
      <w:rPr>
        <w:rFonts w:ascii="等线" w:hAnsi="等线" w:eastAsia="等线" w:cs="等线"/>
        <w:spacing w:val="4"/>
        <w:sz w:val="17"/>
        <w:szCs w:val="17"/>
      </w:rPr>
      <w:t>-</w:t>
    </w:r>
    <w:r>
      <w:rPr>
        <w:rFonts w:ascii="等线" w:hAnsi="等线" w:eastAsia="等线" w:cs="等线"/>
        <w:spacing w:val="3"/>
        <w:sz w:val="17"/>
        <w:szCs w:val="17"/>
      </w:rPr>
      <w:t xml:space="preserve">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U5YzhjNDcyYTRhZjRmODEzM2IzMzViMTVhYmNhNDMifQ=="/>
  </w:docVars>
  <w:rsids>
    <w:rsidRoot w:val="00000000"/>
    <w:rsid w:val="0064138E"/>
    <w:rsid w:val="08117FF5"/>
    <w:rsid w:val="16030650"/>
    <w:rsid w:val="19D83126"/>
    <w:rsid w:val="1A107BF9"/>
    <w:rsid w:val="1EFC4A68"/>
    <w:rsid w:val="233C662C"/>
    <w:rsid w:val="24E51F5F"/>
    <w:rsid w:val="27996668"/>
    <w:rsid w:val="291D4471"/>
    <w:rsid w:val="36E47182"/>
    <w:rsid w:val="3D4B5014"/>
    <w:rsid w:val="4DF43DDD"/>
    <w:rsid w:val="55F92428"/>
    <w:rsid w:val="56041D14"/>
    <w:rsid w:val="57CB2F29"/>
    <w:rsid w:val="5A521B6D"/>
    <w:rsid w:val="5E514269"/>
    <w:rsid w:val="5FBD53FC"/>
    <w:rsid w:val="61FA2EEB"/>
    <w:rsid w:val="650840BB"/>
    <w:rsid w:val="6D65044F"/>
    <w:rsid w:val="72BD182E"/>
    <w:rsid w:val="7399740E"/>
    <w:rsid w:val="740C22E8"/>
    <w:rsid w:val="79D3544D"/>
    <w:rsid w:val="7C836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3497</Words>
  <Characters>3656</Characters>
  <TotalTime>8</TotalTime>
  <ScaleCrop>false</ScaleCrop>
  <LinksUpToDate>false</LinksUpToDate>
  <CharactersWithSpaces>3759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2022-09-13T16:24:00Z</dcterms:created>
  <dc:creator>admin</dc:creator>
  <cp:lastModifiedBy>monsant</cp:lastModifiedBy>
  <cp:lastPrinted>2023-09-12T07:54:00Z</cp:lastPrinted>
  <dcterms:modified xsi:type="dcterms:W3CDTF">2024-08-07T13:37:38Z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2022-09-16T19:54:24Z</vt:filetime>
  </property>
  <property fmtid="{D5CDD505-2E9C-101B-9397-08002B2CF9AE}" pid="4" name="KSOProductBuildVer">
    <vt:lpwstr>2052-12.1.0.17147</vt:lpwstr>
  </property>
  <property fmtid="{D5CDD505-2E9C-101B-9397-08002B2CF9AE}" pid="5" name="ICV">
    <vt:lpwstr>6015E16B20824DC3BD07B68C795E98D0</vt:lpwstr>
  </property>
</Properties>
</file>